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8D" w:rsidRPr="003B018D" w:rsidRDefault="003B018D" w:rsidP="003B018D">
      <w:pPr>
        <w:jc w:val="right"/>
      </w:pPr>
      <w:bookmarkStart w:id="0" w:name="_GoBack"/>
      <w:r w:rsidRPr="003B018D">
        <w:rPr>
          <w:rFonts w:hint="cs"/>
          <w:rtl/>
          <w:lang w:bidi="fa-IR"/>
        </w:rPr>
        <w:t>پس از عدم توفیق سازمان خصوصی سازی برای واگذاری بلوک 15 درصدی سهام شرکت ذوب آهن اصفهان در 13 خرداد ماه امسال، بار دیگر این نهاد مجری سیاست های کلی اصل 44 قانون اساسی در امور واگذاری ها شانس خود را تا دو هفته دیگر برای فروش بیش از یک میلیارد سهم از این شرکت 786 میلیارد و 840 میلیون و 600 هزار تومانی در فرابورس امتحان می کند.</w:t>
      </w:r>
    </w:p>
    <w:p w:rsidR="003B018D" w:rsidRPr="003B018D" w:rsidRDefault="003B018D" w:rsidP="003B018D">
      <w:pPr>
        <w:jc w:val="right"/>
        <w:rPr>
          <w:rtl/>
        </w:rPr>
      </w:pPr>
      <w:r w:rsidRPr="003B018D">
        <w:rPr>
          <w:rFonts w:hint="cs"/>
          <w:rtl/>
          <w:lang w:bidi="fa-IR"/>
        </w:rPr>
        <w:t>به گزارش </w:t>
      </w:r>
      <w:r w:rsidRPr="003B018D">
        <w:rPr>
          <w:rFonts w:hint="cs"/>
          <w:b/>
          <w:bCs/>
          <w:rtl/>
          <w:lang w:bidi="fa-IR"/>
        </w:rPr>
        <w:t>بورس نیوز</w:t>
      </w:r>
      <w:r w:rsidRPr="003B018D">
        <w:rPr>
          <w:rFonts w:hint="cs"/>
          <w:rtl/>
          <w:lang w:bidi="fa-IR"/>
        </w:rPr>
        <w:t>، سازمان خصوصی سازی نخستین بار با عرضه 3.17 درصد معادل 250 میلیون سهام شرکت اصل چهل و چهاری ذوب آهن در بازار دوم فرابورس موفق به کشف قیمت هر سهم "ذوب" به نرخ 130 تومان و 4 ریال شد اما پس از آنکه بلوک 15 درصدی سهام این شرکت را 13 خرداد ماه امسال راهی میز فروش بازار سهام کرد با ناکامی مواجه شد.</w:t>
      </w:r>
    </w:p>
    <w:p w:rsidR="003B018D" w:rsidRPr="003B018D" w:rsidRDefault="003B018D" w:rsidP="003B018D">
      <w:pPr>
        <w:jc w:val="right"/>
        <w:rPr>
          <w:rtl/>
        </w:rPr>
      </w:pPr>
      <w:r w:rsidRPr="003B018D">
        <w:rPr>
          <w:rFonts w:hint="cs"/>
          <w:rtl/>
          <w:lang w:bidi="fa-IR"/>
        </w:rPr>
        <w:t>حال با گذشت حدود یک ماه از این ماجرا بار دیگر سازمان خصوصی با همان شرایط قبلی تصمیم به واگذاری یک میلیارد و 180 میلیون و 260 هزار و 900 سهم به قیمت تابلو فرابورس (معادل قیمت بسته شدن در روز قبل از عرضه) به اضافه 20 درصد به شرط آنکه از 150 تومان کمتر نباشد تا 13 روز دیگر نموده که برای شرکت در این مزایده پیش از هر چیز نیاز به سپرده کردن مبلغ پنج میلیارد و 311 میلیون و 174 هزار تومان وجه نقد نزد سازمان خصوصی سازی است.</w:t>
      </w:r>
    </w:p>
    <w:p w:rsidR="003B018D" w:rsidRPr="003B018D" w:rsidRDefault="003B018D" w:rsidP="003B018D">
      <w:pPr>
        <w:jc w:val="right"/>
        <w:rPr>
          <w:rtl/>
        </w:rPr>
      </w:pPr>
      <w:r w:rsidRPr="003B018D">
        <w:rPr>
          <w:rFonts w:hint="cs"/>
          <w:rtl/>
          <w:lang w:bidi="fa-IR"/>
        </w:rPr>
        <w:t>این واگذاری اما در حالیکه یکبار به شکست انجامیده بار دیگر با همان شرایط قبلی و بدون هیچ گونه تغییری در کم و کیف آن راهی میز فروش بازار سهامی می گردد که از هم اکنون می توان نتیجه آنرا حدس زد.</w:t>
      </w:r>
    </w:p>
    <w:p w:rsidR="003B018D" w:rsidRPr="003B018D" w:rsidRDefault="003B018D" w:rsidP="003B018D">
      <w:pPr>
        <w:jc w:val="right"/>
        <w:rPr>
          <w:rtl/>
        </w:rPr>
      </w:pPr>
      <w:r w:rsidRPr="003B018D">
        <w:rPr>
          <w:rFonts w:hint="cs"/>
          <w:rtl/>
          <w:lang w:bidi="fa-IR"/>
        </w:rPr>
        <w:t>واگذاری که از دید کارشناسان نه تنها قیمت پایه عرضه آن مناسب نیست بلکه حجم در نظر گرفته شده برای فروش این میزان سهام نیز جذابیتی برای سهامدار حقوقی یا احتمالاً حقیقی خریدار نخواهد داشت.</w:t>
      </w:r>
    </w:p>
    <w:p w:rsidR="003B018D" w:rsidRPr="003B018D" w:rsidRDefault="003B018D" w:rsidP="003B018D">
      <w:pPr>
        <w:jc w:val="right"/>
        <w:rPr>
          <w:rtl/>
        </w:rPr>
      </w:pPr>
      <w:r w:rsidRPr="003B018D">
        <w:rPr>
          <w:rFonts w:hint="cs"/>
          <w:rtl/>
          <w:lang w:bidi="fa-IR"/>
        </w:rPr>
        <w:t>در این باره مجتبی فریدونی، مدیر سرمایه گذاری شرکت ذوب آهن اصفهان با انتقاد از عملکرد سازمان خصوصی سازی در نحوه واگذاری سهام این شرکت در فرابورس، خاطر نشان کرد: در شرایطی بلوک 15 درصدی سهام ذوب آهن با فرض 20 درصد بالاتر از قیمت این سهم در تابلوی معاملات به شرطی که از 150 تومان کمتر نباشد، یکبار روی میز فروش قرار گرفته که هیچ متقاضی برای تحصیل آن پا به میدان نگذاشته است. پس به طور حتم مشکلی در فرآیند این عرضه وجود داشته که تکرار مجدد آن عاقلانه نیست.</w:t>
      </w:r>
    </w:p>
    <w:p w:rsidR="003B018D" w:rsidRPr="003B018D" w:rsidRDefault="003B018D" w:rsidP="003B018D">
      <w:pPr>
        <w:jc w:val="right"/>
        <w:rPr>
          <w:rtl/>
        </w:rPr>
      </w:pPr>
      <w:r w:rsidRPr="003B018D">
        <w:rPr>
          <w:rFonts w:hint="cs"/>
          <w:rtl/>
          <w:lang w:bidi="fa-IR"/>
        </w:rPr>
        <w:t>وی با تأکید بر لزوم تغییر در شرایط و حجم سهام قابل عرضه ذوب آهن اصفهان از سوی خصوصی سازی، عنوان کرد: تعیین حجم 15 درصدی سهام برای واگذاری در شرایط کنونی هیچ انگیزه ای را برای شرکت های حقوقی ایجاد نخواهد کرد. چرا که از کسب جایگاه در ترکیب هیأت مدیره به رغم تقبل هزینه 250 میلیارد تومانی برای تملک بلوک 15 درصدی سهام "ذوب"، ناتوان خواهد بود.</w:t>
      </w:r>
    </w:p>
    <w:p w:rsidR="003B018D" w:rsidRPr="003B018D" w:rsidRDefault="003B018D" w:rsidP="003B018D">
      <w:pPr>
        <w:jc w:val="right"/>
        <w:rPr>
          <w:rtl/>
        </w:rPr>
      </w:pPr>
      <w:r w:rsidRPr="003B018D">
        <w:rPr>
          <w:rFonts w:hint="cs"/>
          <w:rtl/>
          <w:lang w:bidi="fa-IR"/>
        </w:rPr>
        <w:t>از طرفی با فروش نرفتن این میزان سهام بنابر مقررات موجود بابت رد دیون دولتی، بلوک 15 درصدی "ذوب" به احتمال فراوان به صندوق ذخیره فرهنگیان اختصاص خواهد یافت که از تخصص و استراتژی های توسعه ای در این صنعت برخوردار نبوده و تنها به دنبال سود تقسیمی شرکت در مجامع عادی سالیانه است.</w:t>
      </w:r>
    </w:p>
    <w:p w:rsidR="003B018D" w:rsidRPr="003B018D" w:rsidRDefault="003B018D" w:rsidP="003B018D">
      <w:pPr>
        <w:jc w:val="right"/>
        <w:rPr>
          <w:rtl/>
        </w:rPr>
      </w:pPr>
      <w:r w:rsidRPr="003B018D">
        <w:rPr>
          <w:rFonts w:hint="cs"/>
          <w:rtl/>
          <w:lang w:bidi="fa-IR"/>
        </w:rPr>
        <w:t>این مقام مسئول با بیان اینکه نگاه سازمان خصوصی سازی در واگذاری ها باید براساس تسهیل امور و پویایی بنگاه های اقتصادی پس از جدا شدن از بدنه دولت و در راستای خصوصی سازی واقعی در کشور انجام گیرد، تصریح کرد: تا زمانیکه خصوصی سازی بر مبنای تأمین منابع درآمدی از بابت فروش شرکت ها و یا رفع تکالیف در هر شرایطی باشد نمی توان به موفقیت واگذاری ها امیدوار بود.</w:t>
      </w:r>
    </w:p>
    <w:p w:rsidR="003B018D" w:rsidRPr="003B018D" w:rsidRDefault="003B018D" w:rsidP="003B018D">
      <w:pPr>
        <w:jc w:val="right"/>
        <w:rPr>
          <w:rtl/>
        </w:rPr>
      </w:pPr>
      <w:r w:rsidRPr="003B018D">
        <w:rPr>
          <w:rFonts w:hint="cs"/>
          <w:rtl/>
          <w:lang w:bidi="fa-IR"/>
        </w:rPr>
        <w:t>جالب آنکه در زمینه واگذاری بلوک 15 درصدی سهام ذوب آهن اصفهان، ابتدا پنجم خرداد ماه اخیر تعیین شد که مصادف بود با روز جمعه و پس از آن قرار بود که روز هفتم خردادماه این عرضه انجام شود که لزوم رعایت انتشار آگهی عرضه حداقل 4 روز کاری قبل از واگذاری و توقف نماد معاملاتی "ذوب" در فرابورس، به روز شنبه 13 خرداد ماه موکول شد که همزمان با اعلام تعدیل منفی شرکت در عملکرد سال مالی گذشته بود. در این زمینه متأسفانه به رغم تلاش مدیریت شرکت برای برقراری ارتباط و تبادل نظر با مدیریت سازمان خصوصی سازی، حتی نسبت به پاسخگویی به تقاضاهای مطرح شده هیچ توجهی نمی شود.</w:t>
      </w:r>
    </w:p>
    <w:p w:rsidR="003B018D" w:rsidRPr="003B018D" w:rsidRDefault="003B018D" w:rsidP="003B018D">
      <w:pPr>
        <w:jc w:val="right"/>
        <w:rPr>
          <w:rtl/>
        </w:rPr>
      </w:pPr>
      <w:r w:rsidRPr="003B018D">
        <w:rPr>
          <w:rFonts w:hint="cs"/>
          <w:rtl/>
          <w:lang w:bidi="fa-IR"/>
        </w:rPr>
        <w:t>در حال حاضر نیز عدم تغییر در شرایط عرضه و تکرار آن همچون با دفعه قبلی وجود برخی انگیزه ها در واگذاری سهام ذوب آهن به منظور رفع تکلیف و از سویی تسویه بدهی دولت از طریق رد دیون را در اذهان بوجود می آورد.</w:t>
      </w:r>
    </w:p>
    <w:p w:rsidR="003B018D" w:rsidRPr="003B018D" w:rsidRDefault="003B018D" w:rsidP="003B018D">
      <w:pPr>
        <w:jc w:val="right"/>
        <w:rPr>
          <w:b/>
          <w:bCs/>
          <w:rtl/>
        </w:rPr>
      </w:pPr>
      <w:r w:rsidRPr="003B018D">
        <w:rPr>
          <w:rFonts w:hint="cs"/>
          <w:b/>
          <w:bCs/>
          <w:rtl/>
          <w:lang w:bidi="fa-IR"/>
        </w:rPr>
        <w:lastRenderedPageBreak/>
        <w:t>اختلاف نظر حسابرس با گزارش های سردرگم</w:t>
      </w:r>
    </w:p>
    <w:p w:rsidR="003B018D" w:rsidRPr="003B018D" w:rsidRDefault="003B018D" w:rsidP="003B018D">
      <w:pPr>
        <w:jc w:val="right"/>
        <w:rPr>
          <w:rtl/>
        </w:rPr>
      </w:pPr>
      <w:r w:rsidRPr="003B018D">
        <w:rPr>
          <w:rFonts w:hint="cs"/>
          <w:rtl/>
          <w:lang w:bidi="fa-IR"/>
        </w:rPr>
        <w:t>فریدونی در ادامه از فرآیند تجدید ارزیابی دارایی های شرکت ذوب آهن نیز سخن گفت و افزود: اقدام هایی در راستای تجدید ارزیابی برخی دارایی ها از جمله کارگاه ها و تجهیزات شرکت از سال 85 تا به امروز انجام گرفته و گزارش کارشناس دادگستری نیز در این زمینه رو به اتمام می باشد اما در مجموع اختلاف نظر برسر نحوه ارایه این گزارش منجر به سردرگمی کارشناسان و حسابرسان شرکت شده است.</w:t>
      </w:r>
    </w:p>
    <w:p w:rsidR="003B018D" w:rsidRPr="003B018D" w:rsidRDefault="003B018D" w:rsidP="003B018D">
      <w:pPr>
        <w:jc w:val="right"/>
        <w:rPr>
          <w:rtl/>
        </w:rPr>
      </w:pPr>
      <w:r w:rsidRPr="003B018D">
        <w:rPr>
          <w:rFonts w:hint="cs"/>
          <w:rtl/>
          <w:lang w:bidi="fa-IR"/>
        </w:rPr>
        <w:t>وی ادامه داد: طبق استاندارد شماره 11 حسابداری، افزایش سرمایه از محل تجدید ارزیابی دارایی ها ممنوع بوده و براساس آن هر ساله مانده حساب تجدید ارزیابی باید به صورت سود و زیان سنواتی منتقل و افزایش هزینه استهلاک از این طریق پوشش داده شود.</w:t>
      </w:r>
    </w:p>
    <w:p w:rsidR="003B018D" w:rsidRPr="003B018D" w:rsidRDefault="003B018D" w:rsidP="003B018D">
      <w:pPr>
        <w:jc w:val="right"/>
        <w:rPr>
          <w:rtl/>
        </w:rPr>
      </w:pPr>
      <w:r w:rsidRPr="003B018D">
        <w:rPr>
          <w:rFonts w:hint="cs"/>
          <w:rtl/>
          <w:lang w:bidi="fa-IR"/>
        </w:rPr>
        <w:t>از طرفی آیین نامه هیأت وزیران در بند ب ماده 78 قانون بودجه 90، افزایش سرمایه واحدهای اقتصادی از محل مازاد تجدید ارزیابی دارایی ها را مجاز کرده اما در مقابل رییس سازمان امور مالیاتی با ارسال نامه ای به مدیریت سازمان بورس، عنوان کرده که افزایش سرمایه برای جبران زیان انباشته از محل تجدید ارزیابی دارایی ها مشمول معافیت مالیاتی نمی شود.</w:t>
      </w:r>
    </w:p>
    <w:p w:rsidR="003B018D" w:rsidRPr="003B018D" w:rsidRDefault="003B018D" w:rsidP="003B018D">
      <w:pPr>
        <w:jc w:val="right"/>
        <w:rPr>
          <w:rtl/>
        </w:rPr>
      </w:pPr>
      <w:r w:rsidRPr="003B018D">
        <w:rPr>
          <w:rFonts w:hint="cs"/>
          <w:rtl/>
          <w:lang w:bidi="fa-IR"/>
        </w:rPr>
        <w:t>این میان معاونت سازمان بورس نیز در یکی از مصاحبه های اخیر خود با مطبوعات شرط قانع شدن بورس علاوه بر رعایت مفاد قانونی را برای اجرای افزایش سرمایه از محل مازاد تجدید ارزیابی دارایی ها ضروری اعلام کرده که حسابرس را در انتخاب معیارهای مورد نیاز با سردرگمی فاحشی مواجه ساخته است.</w:t>
      </w:r>
    </w:p>
    <w:p w:rsidR="003B018D" w:rsidRPr="003B018D" w:rsidRDefault="003B018D" w:rsidP="003B018D">
      <w:pPr>
        <w:jc w:val="right"/>
        <w:rPr>
          <w:rtl/>
        </w:rPr>
      </w:pPr>
      <w:r w:rsidRPr="003B018D">
        <w:rPr>
          <w:rFonts w:hint="cs"/>
          <w:rtl/>
          <w:lang w:bidi="fa-IR"/>
        </w:rPr>
        <w:t>فریدونی با اشاره به ابلاغ نخستین آیین نامه اجرایی تجدید ارزیابی دارایی ها در بهمن ماه سال گذشته، گفت: در حالیکه برای به اجرا درآمدن این آیین نامه براساس قانون بودجه 1390 دولت تنها یک ماه تا پایان سال مهلت وجود داشت اما شرکت، توان بسیاری را بکار بست تا با تجدید ارزیابی برخی دارایی ها نسبت به تجدید ساختار مالی خود اقدام کند.</w:t>
      </w:r>
    </w:p>
    <w:p w:rsidR="003B018D" w:rsidRPr="003B018D" w:rsidRDefault="003B018D" w:rsidP="003B018D">
      <w:pPr>
        <w:jc w:val="right"/>
        <w:rPr>
          <w:rtl/>
        </w:rPr>
      </w:pPr>
      <w:r w:rsidRPr="003B018D">
        <w:rPr>
          <w:rFonts w:hint="cs"/>
          <w:rtl/>
          <w:lang w:bidi="fa-IR"/>
        </w:rPr>
        <w:t>این عملیات اکنون در مرحله گزارش نهایی کارشناس رسمی دادگستری بوده و تأیید آن نیازمند اظهار نظر باید حسابرس شرکت است.</w:t>
      </w:r>
    </w:p>
    <w:p w:rsidR="003B018D" w:rsidRPr="003B018D" w:rsidRDefault="003B018D" w:rsidP="003B018D">
      <w:pPr>
        <w:jc w:val="right"/>
        <w:rPr>
          <w:rtl/>
        </w:rPr>
      </w:pPr>
      <w:r w:rsidRPr="003B018D">
        <w:rPr>
          <w:rFonts w:hint="cs"/>
          <w:rtl/>
          <w:lang w:bidi="fa-IR"/>
        </w:rPr>
        <w:t>در عین حال آیین نامه اجرایی جدید تجدید ارزیابی دارایی ها در سال جدید نیز به تأیید هیأت وزیران نیاز داردو حال آنکه معلوم نیست ابهامات پیش رو در این زمینه چه زمانی پایان خواهد یافت.</w:t>
      </w:r>
    </w:p>
    <w:p w:rsidR="003B018D" w:rsidRPr="003B018D" w:rsidRDefault="003B018D" w:rsidP="003B018D">
      <w:pPr>
        <w:jc w:val="right"/>
        <w:rPr>
          <w:b/>
          <w:bCs/>
          <w:rtl/>
        </w:rPr>
      </w:pPr>
      <w:r w:rsidRPr="003B018D">
        <w:rPr>
          <w:rFonts w:hint="cs"/>
          <w:b/>
          <w:bCs/>
          <w:rtl/>
          <w:lang w:bidi="fa-IR"/>
        </w:rPr>
        <w:t>حسابرس در گیرودار اوراق های تأمین مالی</w:t>
      </w:r>
    </w:p>
    <w:p w:rsidR="003B018D" w:rsidRPr="003B018D" w:rsidRDefault="003B018D" w:rsidP="003B018D">
      <w:pPr>
        <w:jc w:val="right"/>
        <w:rPr>
          <w:rtl/>
        </w:rPr>
      </w:pPr>
      <w:r w:rsidRPr="003B018D">
        <w:rPr>
          <w:rFonts w:hint="cs"/>
          <w:rtl/>
          <w:lang w:bidi="fa-IR"/>
        </w:rPr>
        <w:t>به گفته مدیر سرمایه گذاری ذوب آهن اصفهان پس از اظهار نظر حسابرس این شرکت راجع به افزایش سرمایه از محل مازاد تجدید ارزیابی دارایی ها، ابهام های دیگر در خصوص صورت های مالی سال 90 از جمله گزارش ثبت انتشار 500 میلیارد تومان اوراق مشارکت با نرخ 20 درصد برای توسعه طرح شهید کاظمی و نیز انتشار اوراق مرابحه به منظور تهیه مواد اولیه، باید از سوی حسابرس بررسی و مورد توجه قرار گیرند که پس از آن تحت فرم های مشخص به سازمان بورس ارایه خواهد شد.</w:t>
      </w:r>
    </w:p>
    <w:p w:rsidR="003B018D" w:rsidRPr="003B018D" w:rsidRDefault="003B018D" w:rsidP="003B018D">
      <w:pPr>
        <w:jc w:val="right"/>
        <w:rPr>
          <w:b/>
          <w:bCs/>
          <w:rtl/>
        </w:rPr>
      </w:pPr>
      <w:r w:rsidRPr="003B018D">
        <w:rPr>
          <w:rFonts w:hint="cs"/>
          <w:b/>
          <w:bCs/>
          <w:rtl/>
          <w:lang w:bidi="fa-IR"/>
        </w:rPr>
        <w:t>دیگر زیان نداریم</w:t>
      </w:r>
    </w:p>
    <w:p w:rsidR="003B018D" w:rsidRPr="003B018D" w:rsidRDefault="003B018D" w:rsidP="003B018D">
      <w:pPr>
        <w:jc w:val="right"/>
        <w:rPr>
          <w:rtl/>
        </w:rPr>
      </w:pPr>
      <w:r w:rsidRPr="003B018D">
        <w:rPr>
          <w:rFonts w:hint="cs"/>
          <w:rtl/>
          <w:lang w:bidi="fa-IR"/>
        </w:rPr>
        <w:t>وی با اشاره به تحقق زیان 249 ریالی "ذوب" در سال مالی اخیر، از عدم افت سودآوری ها در سه ماهه امسال و رشد مناسب قیمت های فروش خبر داد و افزود: شرکت برای سال مالی جاری به ازای هر سهم مبلغ 172 ریال سود پیش بینی نموده که نگرانی برای دستیابی به آن وجود ندارد.</w:t>
      </w:r>
    </w:p>
    <w:p w:rsidR="003B018D" w:rsidRPr="003B018D" w:rsidRDefault="003B018D" w:rsidP="003B018D">
      <w:pPr>
        <w:jc w:val="right"/>
        <w:rPr>
          <w:rtl/>
        </w:rPr>
      </w:pPr>
      <w:r w:rsidRPr="003B018D">
        <w:rPr>
          <w:rFonts w:hint="cs"/>
          <w:rtl/>
          <w:lang w:bidi="fa-IR"/>
        </w:rPr>
        <w:t>در بحث درآمدی هم اینک مطابق با پیش بینی ها عمل شده و در بخش هزینه ها نیز به رغم تحمیل برخی شرایط از جمله متغیرهای ارزی و نوسان قیمت مواد اولیه، اما تا به امروز ریسک تأثیرگذاری بر شرکت حاکم نبوده است.</w:t>
      </w:r>
    </w:p>
    <w:p w:rsidR="003B018D" w:rsidRPr="003B018D" w:rsidRDefault="003B018D" w:rsidP="003B018D">
      <w:pPr>
        <w:jc w:val="right"/>
        <w:rPr>
          <w:b/>
          <w:bCs/>
          <w:rtl/>
        </w:rPr>
      </w:pPr>
      <w:r w:rsidRPr="003B018D">
        <w:rPr>
          <w:rFonts w:hint="cs"/>
          <w:b/>
          <w:bCs/>
          <w:rtl/>
          <w:lang w:bidi="fa-IR"/>
        </w:rPr>
        <w:t>تجدید ارزیابی 400 میلیارد تومانی و یک دیدگاه جدید</w:t>
      </w:r>
    </w:p>
    <w:p w:rsidR="003B018D" w:rsidRPr="003B018D" w:rsidRDefault="003B018D" w:rsidP="003B018D">
      <w:pPr>
        <w:jc w:val="right"/>
        <w:rPr>
          <w:rtl/>
        </w:rPr>
      </w:pPr>
      <w:r w:rsidRPr="003B018D">
        <w:rPr>
          <w:rFonts w:hint="cs"/>
          <w:rtl/>
          <w:lang w:bidi="fa-IR"/>
        </w:rPr>
        <w:t xml:space="preserve">فریدونی در خاتمه با بیان اینکه تجدید ارزیابی صورت گرفته در این شرکت رقمی در حدود 400 میلیارد تومان را شامل می شود، افزود: نگاه بدبینانه به موضوع افزایش سرمایه از محل تجدید ارزیابی دارایی ها، صرف آنکه شرکت ها می خواهند از شمولیت </w:t>
      </w:r>
      <w:r w:rsidRPr="003B018D">
        <w:rPr>
          <w:rFonts w:hint="cs"/>
          <w:rtl/>
          <w:lang w:bidi="fa-IR"/>
        </w:rPr>
        <w:lastRenderedPageBreak/>
        <w:t>اصل 141 قانون تجارت خارج شوند به حل مشکل کمکی نمی کند. حال آنکه اصلاح ساختار مالی از دیگر کارکردهای این فرآیند بوده که ذوب آهن اصفهان برای واقعی کردن صورت های مالی خود خواهان استفاده از آن است.</w:t>
      </w:r>
    </w:p>
    <w:p w:rsidR="003B018D" w:rsidRPr="003B018D" w:rsidRDefault="003B018D" w:rsidP="003B018D">
      <w:pPr>
        <w:jc w:val="right"/>
        <w:rPr>
          <w:b/>
          <w:bCs/>
          <w:rtl/>
        </w:rPr>
      </w:pPr>
      <w:r w:rsidRPr="003B018D">
        <w:rPr>
          <w:b/>
          <w:bCs/>
          <w:rtl/>
        </w:rPr>
        <w:t>ن</w:t>
      </w:r>
    </w:p>
    <w:bookmarkEnd w:id="0"/>
    <w:p w:rsidR="00661668" w:rsidRDefault="00661668" w:rsidP="003B018D">
      <w:pPr>
        <w:jc w:val="right"/>
      </w:pPr>
    </w:p>
    <w:sectPr w:rsidR="00661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18D"/>
    <w:rsid w:val="003B018D"/>
    <w:rsid w:val="00661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24619">
      <w:bodyDiv w:val="1"/>
      <w:marLeft w:val="0"/>
      <w:marRight w:val="0"/>
      <w:marTop w:val="0"/>
      <w:marBottom w:val="0"/>
      <w:divBdr>
        <w:top w:val="none" w:sz="0" w:space="0" w:color="auto"/>
        <w:left w:val="none" w:sz="0" w:space="0" w:color="auto"/>
        <w:bottom w:val="none" w:sz="0" w:space="0" w:color="auto"/>
        <w:right w:val="none" w:sz="0" w:space="0" w:color="auto"/>
      </w:divBdr>
      <w:divsChild>
        <w:div w:id="874658608">
          <w:marLeft w:val="0"/>
          <w:marRight w:val="0"/>
          <w:marTop w:val="150"/>
          <w:marBottom w:val="0"/>
          <w:divBdr>
            <w:top w:val="none" w:sz="0" w:space="0" w:color="auto"/>
            <w:left w:val="none" w:sz="0" w:space="0" w:color="auto"/>
            <w:bottom w:val="none" w:sz="0" w:space="0" w:color="auto"/>
            <w:right w:val="none" w:sz="0" w:space="0" w:color="auto"/>
          </w:divBdr>
        </w:div>
        <w:div w:id="501970274">
          <w:marLeft w:val="0"/>
          <w:marRight w:val="105"/>
          <w:marTop w:val="300"/>
          <w:marBottom w:val="0"/>
          <w:divBdr>
            <w:top w:val="single" w:sz="6" w:space="4" w:color="A5B2BD"/>
            <w:left w:val="single" w:sz="6" w:space="23" w:color="A5B2BD"/>
            <w:bottom w:val="single" w:sz="6" w:space="23" w:color="A5B2BD"/>
            <w:right w:val="single" w:sz="6" w:space="23" w:color="A5B2BD"/>
          </w:divBdr>
          <w:divsChild>
            <w:div w:id="10115634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2012-07-01T06:08:00Z</dcterms:created>
  <dcterms:modified xsi:type="dcterms:W3CDTF">2012-07-01T06:10:00Z</dcterms:modified>
</cp:coreProperties>
</file>